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Território é currículo</w:t>
      </w:r>
    </w:p>
    <w:p>
      <w:r>
        <w:rPr>
          <w:color w:val="666666"/>
          <w:sz w:val="28"/>
        </w:rPr>
        <w:t>Fundamentação pedagógica das Experiências Favela Galeria · versão para escolas, educadores e parceiros</w:t>
      </w:r>
    </w:p>
    <w:p>
      <w:r>
        <w:rPr>
          <w:b/>
          <w:color w:val="C62F2F"/>
          <w:sz w:val="17"/>
        </w:rPr>
        <w:t>INSTITUTO SENTIR · EXPERIÊNCIAS FAVELA GALERIA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36"/>
            <w:shd w:fill="F3F0E8"/>
            <w:tcMar>
              <w:top w:w="180" w:type="dxa"/>
              <w:start w:w="200" w:type="dxa"/>
              <w:bottom w:w="180" w:type="dxa"/>
              <w:end w:w="200" w:type="dxa"/>
            </w:tcMar>
          </w:tcPr>
          <w:p>
            <w:r>
              <w:rPr>
                <w:b/>
                <w:color w:val="C62F2F"/>
                <w:sz w:val="24"/>
              </w:rPr>
              <w:t>TESE CENTRAL</w:t>
              <w:br/>
            </w:r>
            <w:r>
              <w:t>O Favela Galeria não é um passeio ao qual se acrescentam objetivos pedagógicos. O encontro com o território pode constituir uma situação de aprendizagem quando há intencionalidade, investigação, mediação, produção e elaboração posterior.</w:t>
            </w:r>
          </w:p>
        </w:tc>
      </w:tr>
    </w:tbl>
    <w:p>
      <w:pPr>
        <w:spacing w:after="20"/>
      </w:pPr>
    </w:p>
    <w:p>
      <w:pPr>
        <w:pStyle w:val="Heading1"/>
      </w:pPr>
      <w:r>
        <w:t>1. Por que sair da escola?</w:t>
      </w:r>
    </w:p>
    <w:p>
      <w:r>
        <w:t>A educação escolar não se limita fisicamente à escola. A LDB inclui entre os princípios do ensino a valorização da experiência extraescolar e a vinculação entre educação escolar, trabalho e práticas sociais. No Ensino Médio, a Lei nº 14.945/2024 tornou ainda mais explícita a relação entre aprendizagem e território: as propostas pedagógicas devem considerar metodologias investigativas, conexão com a vida comunitária e social de cada território e articulação entre diferentes saberes.</w:t>
      </w:r>
    </w:p>
    <w:p>
      <w:r>
        <w:t>Isso não significa que toda saída seja, por si só, curricular. A potência pedagógica nasce da relação entre uma pergunta, um território capaz de oferecer evidências e encontros, uma mediação qualificada e um processo de elaboração que retorna à escola.</w:t>
      </w:r>
    </w:p>
    <w:p>
      <w:pPr>
        <w:pStyle w:val="Heading1"/>
      </w:pPr>
      <w:r>
        <w:t>2. O território não é cenário</w:t>
      </w:r>
    </w:p>
    <w:p>
      <w:r>
        <w:t>Na Vila Flávia, ruas, muros, obras, artistas, moradores, memórias, linguagens, infraestruturas, transformações urbanas e formas de organização comunitária podem ser tratados como fontes. O estudante não é convidado apenas a receber informações sobre o lugar, mas a observar, perguntar, registrar, comparar, interpretar e produzir respostas.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36"/>
            <w:shd w:fill="F3F0E8"/>
            <w:tcMar>
              <w:top w:w="180" w:type="dxa"/>
              <w:start w:w="200" w:type="dxa"/>
              <w:bottom w:w="180" w:type="dxa"/>
              <w:end w:w="200" w:type="dxa"/>
            </w:tcMar>
          </w:tcPr>
          <w:p>
            <w:r>
              <w:rPr>
                <w:b/>
                <w:color w:val="C62F2F"/>
                <w:sz w:val="24"/>
              </w:rPr>
              <w:t>PRINCÍPIO DE RECIPROCIDADE</w:t>
              <w:br/>
            </w:r>
            <w:r>
              <w:t>A comunidade não é objeto exótico de observação. É sujeito produtor de cultura, memória, conhecimento, estética, linguagem e interpretação da cidade. A experiência deve preservar dignidade, escuta, contexto e autoria.</w:t>
            </w:r>
          </w:p>
        </w:tc>
      </w:tr>
    </w:tbl>
    <w:p>
      <w:pPr>
        <w:spacing w:after="20"/>
      </w:pPr>
    </w:p>
    <w:p>
      <w:pPr>
        <w:pStyle w:val="Heading1"/>
      </w:pPr>
      <w:r>
        <w:t>3. Quatro movimentos pedagógicos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rPr>
          <w:cantSplit/>
        </w:trPr>
        <w:tc>
          <w:tcPr>
            <w:tcW w:type="dxa" w:w="1656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Movimento</w:t>
            </w:r>
          </w:p>
        </w:tc>
        <w:tc>
          <w:tcPr>
            <w:tcW w:type="dxa" w:w="2448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Pergunta</w:t>
            </w:r>
          </w:p>
        </w:tc>
        <w:tc>
          <w:tcPr>
            <w:tcW w:type="dxa" w:w="5472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O que acontece</w:t>
            </w:r>
          </w:p>
        </w:tc>
      </w:tr>
      <w:tr>
        <w:trPr>
          <w:cantSplit/>
        </w:trPr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APRESENTAR</w:t>
            </w:r>
          </w:p>
        </w:tc>
        <w:tc>
          <w:tcPr>
            <w:tcW w:type="dxa" w:w="244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O que merece nossa atenção?</w:t>
            </w:r>
          </w:p>
        </w:tc>
        <w:tc>
          <w:tcPr>
            <w:tcW w:type="dxa" w:w="54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O território oferece obras, histórias, pessoas, conflitos, soluções, linguagens e questões que merecem ser vistas.</w:t>
            </w:r>
          </w:p>
        </w:tc>
      </w:tr>
      <w:tr>
        <w:trPr>
          <w:cantSplit/>
        </w:trPr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RESPONDER</w:t>
            </w:r>
          </w:p>
        </w:tc>
        <w:tc>
          <w:tcPr>
            <w:tcW w:type="dxa" w:w="244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O que acontece quando encontramos isso?</w:t>
            </w:r>
          </w:p>
        </w:tc>
        <w:tc>
          <w:tcPr>
            <w:tcW w:type="dxa" w:w="54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O estudante observa, escuta, pergunta, registra, interpreta, discorda, relaciona e cria.</w:t>
            </w:r>
          </w:p>
        </w:tc>
      </w:tr>
      <w:tr>
        <w:trPr>
          <w:cantSplit/>
        </w:trPr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CONHECER</w:t>
            </w:r>
          </w:p>
        </w:tc>
        <w:tc>
          <w:tcPr>
            <w:tcW w:type="dxa" w:w="244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O que agora precisamos saber?</w:t>
            </w:r>
          </w:p>
        </w:tc>
        <w:tc>
          <w:tcPr>
            <w:tcW w:type="dxa" w:w="54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As disciplinas entram porque uma pergunta passa a exigir História, Arte, Geografia, Matemática, Ciências, Língua Portuguesa, Sociologia ou outros saberes.</w:t>
            </w:r>
          </w:p>
        </w:tc>
      </w:tr>
      <w:tr>
        <w:trPr>
          <w:cantSplit/>
        </w:trPr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SUSTENTAR</w:t>
            </w:r>
          </w:p>
        </w:tc>
        <w:tc>
          <w:tcPr>
            <w:tcW w:type="dxa" w:w="244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O que fazemos com o que aconteceu?</w:t>
            </w:r>
          </w:p>
        </w:tc>
        <w:tc>
          <w:tcPr>
            <w:tcW w:type="dxa" w:w="54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A experiência retorna à escola como documentação, pesquisa, produção autoral, discussão, avaliação, devolutiva e novas perguntas.</w:t>
            </w:r>
          </w:p>
        </w:tc>
      </w:tr>
    </w:tbl>
    <w:p>
      <w:pPr>
        <w:spacing w:after="20"/>
      </w:pPr>
    </w:p>
    <w:p>
      <w:pPr>
        <w:pStyle w:val="Heading1"/>
      </w:pPr>
      <w:r>
        <w:t>4. Um percurso, não um evento</w:t>
      </w:r>
    </w:p>
    <w:p>
      <w:r>
        <w:t>A referência metodológica dos estudos do meio organiza o trabalho em pré-campo, campo e pós-campo. As Experiências Favela Galeria adotam essa lógica e a ampliam para um ciclo de investigação e autoria: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rPr>
          <w:cantSplit/>
        </w:trPr>
        <w:tc>
          <w:tcPr>
            <w:tcW w:type="dxa" w:w="1440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Etapa</w:t>
            </w:r>
          </w:p>
        </w:tc>
        <w:tc>
          <w:tcPr>
            <w:tcW w:type="dxa" w:w="3168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Função pedagógica</w:t>
            </w:r>
          </w:p>
        </w:tc>
        <w:tc>
          <w:tcPr>
            <w:tcW w:type="dxa" w:w="4968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Possibilidades</w:t>
            </w:r>
          </w:p>
        </w:tc>
      </w:tr>
      <w:tr>
        <w:trPr>
          <w:cantSplit/>
        </w:trPr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ANTES</w:t>
            </w:r>
          </w:p>
        </w:tc>
        <w:tc>
          <w:tcPr>
            <w:tcW w:type="dxa" w:w="316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Preparar o olhar sem antecipar todas as respostas.</w:t>
            </w:r>
          </w:p>
        </w:tc>
        <w:tc>
          <w:tcPr>
            <w:tcW w:type="dxa" w:w="496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2 encontros de 50 min; levantamento de repertórios; história da turma; arte pública; território; formação de grupos; perguntas de investigação.</w:t>
            </w:r>
          </w:p>
        </w:tc>
      </w:tr>
      <w:tr>
        <w:trPr>
          <w:cantSplit/>
        </w:trPr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ENCONTRO</w:t>
            </w:r>
          </w:p>
        </w:tc>
        <w:tc>
          <w:tcPr>
            <w:tcW w:type="dxa" w:w="316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Produzir contato real com fontes, sujeitos e situações.</w:t>
            </w:r>
          </w:p>
        </w:tc>
        <w:tc>
          <w:tcPr>
            <w:tcW w:type="dxa" w:w="496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Percurso mediado; observação; conversa com moradores e artistas; obras; registros; croquis; fotografia; medidas; escuta.</w:t>
            </w:r>
          </w:p>
        </w:tc>
      </w:tr>
      <w:tr>
        <w:trPr>
          <w:cantSplit/>
        </w:trPr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OFICINA</w:t>
            </w:r>
          </w:p>
        </w:tc>
        <w:tc>
          <w:tcPr>
            <w:tcW w:type="dxa" w:w="316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Responder também pela criação.</w:t>
            </w:r>
          </w:p>
        </w:tc>
        <w:tc>
          <w:tcPr>
            <w:tcW w:type="dxa" w:w="496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Graffiti, lambe-lambe, rima, DJ, breaking ou outras linguagens, conforme a experiência escolhida.</w:t>
            </w:r>
          </w:p>
        </w:tc>
      </w:tr>
      <w:tr>
        <w:trPr>
          <w:cantSplit/>
        </w:trPr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DEPOIS</w:t>
            </w:r>
          </w:p>
        </w:tc>
        <w:tc>
          <w:tcPr>
            <w:tcW w:type="dxa" w:w="316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Transformar vivência em conhecimento comunicável.</w:t>
            </w:r>
          </w:p>
        </w:tc>
        <w:tc>
          <w:tcPr>
            <w:tcW w:type="dxa" w:w="496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Mapa, ensaio, podcast, exposição, texto, pesquisa, cartografia, análise de dados, obra, seminário, devolutiva ao território.</w:t>
            </w:r>
          </w:p>
        </w:tc>
      </w:tr>
    </w:tbl>
    <w:p>
      <w:pPr>
        <w:spacing w:after="20"/>
      </w:pPr>
    </w:p>
    <w:p>
      <w:pPr>
        <w:pStyle w:val="Heading1"/>
      </w:pPr>
      <w:r>
        <w:t>5. Marco legal e curricular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rPr>
          <w:cantSplit/>
        </w:trPr>
        <w:tc>
          <w:tcPr>
            <w:tcW w:type="dxa" w:w="1944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Marco</w:t>
            </w:r>
          </w:p>
        </w:tc>
        <w:tc>
          <w:tcPr>
            <w:tcW w:type="dxa" w:w="3384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O que estabelece</w:t>
            </w:r>
          </w:p>
        </w:tc>
        <w:tc>
          <w:tcPr>
            <w:tcW w:type="dxa" w:w="4320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Relação possível com as experiências</w:t>
            </w:r>
          </w:p>
        </w:tc>
      </w:tr>
      <w:tr>
        <w:trPr>
          <w:cantSplit/>
        </w:trPr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LDB · Lei 9.394/1996</w:t>
            </w:r>
          </w:p>
        </w:tc>
        <w:tc>
          <w:tcPr>
            <w:tcW w:type="dxa" w:w="33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Valoriza a experiência extraescolar, as práticas sociais e a diversidade; disciplina a Educação Básica.</w:t>
            </w:r>
          </w:p>
        </w:tc>
        <w:tc>
          <w:tcPr>
            <w:tcW w:type="dxa" w:w="43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Sustenta pedagogicamente a aprendizagem em diálogo com experiências e práticas sociais.</w:t>
            </w:r>
          </w:p>
        </w:tc>
      </w:tr>
      <w:tr>
        <w:trPr>
          <w:cantSplit/>
        </w:trPr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Lei 14.945/2024</w:t>
            </w:r>
          </w:p>
        </w:tc>
        <w:tc>
          <w:tcPr>
            <w:tcW w:type="dxa" w:w="33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No Ensino Médio: metodologias investigativas, conexão com a vida comunitária e social do território e articulação de saberes.</w:t>
            </w:r>
          </w:p>
        </w:tc>
        <w:tc>
          <w:tcPr>
            <w:tcW w:type="dxa" w:w="43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É uma base direta para experiências investigativas territorializadas e interdisciplinares.</w:t>
            </w:r>
          </w:p>
        </w:tc>
      </w:tr>
      <w:tr>
        <w:trPr>
          <w:cantSplit/>
        </w:trPr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DCNEM · Res. CNE/CEB 2/2024</w:t>
            </w:r>
          </w:p>
        </w:tc>
        <w:tc>
          <w:tcPr>
            <w:tcW w:type="dxa" w:w="33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Atualiza as Diretrizes do Ensino Médio e enfatiza tratamento interdisciplinar e projetos integradores.</w:t>
            </w:r>
          </w:p>
        </w:tc>
        <w:tc>
          <w:tcPr>
            <w:tcW w:type="dxa" w:w="43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Permite integrar a experiência ao planejamento curricular da etapa.</w:t>
            </w:r>
          </w:p>
        </w:tc>
      </w:tr>
      <w:tr>
        <w:trPr>
          <w:cantSplit/>
        </w:trPr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IFAs · Res. CNE/CEB 4/2025</w:t>
            </w:r>
          </w:p>
        </w:tc>
        <w:tc>
          <w:tcPr>
            <w:tcW w:type="dxa" w:w="33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Institui parâmetros nacionais para os Itinerários Formativos de Aprofundamento.</w:t>
            </w:r>
          </w:p>
        </w:tc>
        <w:tc>
          <w:tcPr>
            <w:tcW w:type="dxa" w:w="43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Oferece campo para aprofundamentos por área e arranjos interáreas, conforme currículo da escola.</w:t>
            </w:r>
          </w:p>
        </w:tc>
      </w:tr>
      <w:tr>
        <w:trPr>
          <w:cantSplit/>
        </w:trPr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BNCC</w:t>
            </w:r>
          </w:p>
        </w:tc>
        <w:tc>
          <w:tcPr>
            <w:tcW w:type="dxa" w:w="33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Define aprendizagens essenciais, competências e habilidades da Educação Básica.</w:t>
            </w:r>
          </w:p>
        </w:tc>
        <w:tc>
          <w:tcPr>
            <w:tcW w:type="dxa" w:w="43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A experiência pode criar situações autênticas para mobilizar competências e habilidades selecionadas pela escola.</w:t>
            </w:r>
          </w:p>
        </w:tc>
      </w:tr>
      <w:tr>
        <w:trPr>
          <w:cantSplit/>
        </w:trPr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Lei 11.645/2008 + DCNERER</w:t>
            </w:r>
          </w:p>
        </w:tc>
        <w:tc>
          <w:tcPr>
            <w:tcW w:type="dxa" w:w="33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Torna obrigatório o estudo da história e cultura afro-brasileira e indígena e orienta a educação das relações étnico-raciais.</w:t>
            </w:r>
          </w:p>
        </w:tc>
        <w:tc>
          <w:tcPr>
            <w:tcW w:type="dxa" w:w="43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Arte urbana, hip-hop, memória, cultura e território podem integrar trabalhos contextualizados, sem reduzir sujeitos a ilustrações curriculares.</w:t>
            </w:r>
          </w:p>
        </w:tc>
      </w:tr>
      <w:tr>
        <w:trPr>
          <w:cantSplit/>
        </w:trPr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Direitos Humanos · Res. CNE/CP 1/2012</w:t>
            </w:r>
          </w:p>
        </w:tc>
        <w:tc>
          <w:tcPr>
            <w:tcW w:type="dxa" w:w="33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Orienta práticas fundadas em dignidade, igualdade, diversidade e democracia.</w:t>
            </w:r>
          </w:p>
        </w:tc>
        <w:tc>
          <w:tcPr>
            <w:tcW w:type="dxa" w:w="43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Sustenta escuta, alteridade, direito à cidade, convivência e reconhecimento de sujeitos e diferenças.</w:t>
            </w:r>
          </w:p>
        </w:tc>
      </w:tr>
      <w:tr>
        <w:trPr>
          <w:cantSplit/>
        </w:trPr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Educação Ambiental · Lei 9.795/1999</w:t>
            </w:r>
          </w:p>
        </w:tc>
        <w:tc>
          <w:tcPr>
            <w:tcW w:type="dxa" w:w="33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Determina educação ambiental integrada, contínua e permanente.</w:t>
            </w:r>
          </w:p>
        </w:tc>
        <w:tc>
          <w:tcPr>
            <w:tcW w:type="dxa" w:w="43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Território urbano permite investigar água, ambiente construído, clima, resíduos, paisagem, sustentabilidade e relações socioambientais.</w:t>
            </w:r>
          </w:p>
        </w:tc>
      </w:tr>
      <w:tr>
        <w:trPr>
          <w:cantSplit/>
        </w:trPr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LDB art. 26, §9-B · 2026</w:t>
            </w:r>
          </w:p>
        </w:tc>
        <w:tc>
          <w:tcPr>
            <w:tcW w:type="dxa" w:w="33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Inclui educação política e direitos da cidadania no estudo da realidade social e política.</w:t>
            </w:r>
          </w:p>
        </w:tc>
        <w:tc>
          <w:tcPr>
            <w:tcW w:type="dxa" w:w="43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Abre possibilidades para participação, espaço público, cidadania e direito à cidade, em abordagem plural e não partidária.</w:t>
            </w:r>
          </w:p>
        </w:tc>
      </w:tr>
    </w:tbl>
    <w:p>
      <w:pPr>
        <w:spacing w:after="20"/>
      </w:pPr>
    </w:p>
    <w:p>
      <w:r>
        <w:t>Nota técnica: uma experiência não “cumpre automaticamente” uma habilidade da BNCC. Ela cria situações em que determinadas competências e habilidades podem ser mobilizadas, desde que haja intencionalidade, planejamento, mediação e formas adequadas de acompanhamento da aprendizagem.</w:t>
      </w:r>
    </w:p>
    <w:p>
      <w:pPr>
        <w:pStyle w:val="Heading1"/>
      </w:pPr>
      <w:r>
        <w:t>6. Competências gerais da BNCC: possibilidades de mobilização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cantSplit/>
        </w:trPr>
        <w:tc>
          <w:tcPr>
            <w:tcW w:type="dxa" w:w="2952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Competência geral</w:t>
            </w:r>
          </w:p>
        </w:tc>
        <w:tc>
          <w:tcPr>
            <w:tcW w:type="dxa" w:w="6696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Como pode aparecer</w:t>
            </w:r>
          </w:p>
        </w:tc>
      </w:tr>
      <w:tr>
        <w:trPr>
          <w:cantSplit/>
        </w:trPr>
        <w:tc>
          <w:tcPr>
            <w:tcW w:type="dxa" w:w="295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1 · Conhecimento</w:t>
            </w:r>
          </w:p>
        </w:tc>
        <w:tc>
          <w:tcPr>
            <w:tcW w:type="dxa" w:w="669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Mobilização de saberes para interpretar território, obras, histórias, dados e práticas sociais.</w:t>
            </w:r>
          </w:p>
        </w:tc>
      </w:tr>
      <w:tr>
        <w:trPr>
          <w:cantSplit/>
        </w:trPr>
        <w:tc>
          <w:tcPr>
            <w:tcW w:type="dxa" w:w="295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2 · Pensamento científico, crítico e criativo</w:t>
            </w:r>
          </w:p>
        </w:tc>
        <w:tc>
          <w:tcPr>
            <w:tcW w:type="dxa" w:w="669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Perguntas, hipóteses, observação, investigação, comparação de fontes e criação de respostas.</w:t>
            </w:r>
          </w:p>
        </w:tc>
      </w:tr>
      <w:tr>
        <w:trPr>
          <w:cantSplit/>
        </w:trPr>
        <w:tc>
          <w:tcPr>
            <w:tcW w:type="dxa" w:w="295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3 · Repertório cultural</w:t>
            </w:r>
          </w:p>
        </w:tc>
        <w:tc>
          <w:tcPr>
            <w:tcW w:type="dxa" w:w="669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Contato situado com graffiti, pixo, hip-hop, arte pública, memória e produção cultural periférica.</w:t>
            </w:r>
          </w:p>
        </w:tc>
      </w:tr>
      <w:tr>
        <w:trPr>
          <w:cantSplit/>
        </w:trPr>
        <w:tc>
          <w:tcPr>
            <w:tcW w:type="dxa" w:w="295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4 · Comunicação</w:t>
            </w:r>
          </w:p>
        </w:tc>
        <w:tc>
          <w:tcPr>
            <w:tcW w:type="dxa" w:w="669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Escuta, entrevista, oralidade, registros, apresentações e diferentes linguagens.</w:t>
            </w:r>
          </w:p>
        </w:tc>
      </w:tr>
      <w:tr>
        <w:trPr>
          <w:cantSplit/>
        </w:trPr>
        <w:tc>
          <w:tcPr>
            <w:tcW w:type="dxa" w:w="295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5 · Cultura digital</w:t>
            </w:r>
          </w:p>
        </w:tc>
        <w:tc>
          <w:tcPr>
            <w:tcW w:type="dxa" w:w="669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Pesquisa, documentação, produção multimídia e leitura crítica de circulação digital, quando planejadas.</w:t>
            </w:r>
          </w:p>
        </w:tc>
      </w:tr>
      <w:tr>
        <w:trPr>
          <w:cantSplit/>
        </w:trPr>
        <w:tc>
          <w:tcPr>
            <w:tcW w:type="dxa" w:w="295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6 · Trabalho e projeto de vida</w:t>
            </w:r>
          </w:p>
        </w:tc>
        <w:tc>
          <w:tcPr>
            <w:tcW w:type="dxa" w:w="669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Contato com artistas, mediadores, produtores culturais e formas de trabalho e organização territorial.</w:t>
            </w:r>
          </w:p>
        </w:tc>
      </w:tr>
      <w:tr>
        <w:trPr>
          <w:cantSplit/>
        </w:trPr>
        <w:tc>
          <w:tcPr>
            <w:tcW w:type="dxa" w:w="295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7 · Argumentação</w:t>
            </w:r>
          </w:p>
        </w:tc>
        <w:tc>
          <w:tcPr>
            <w:tcW w:type="dxa" w:w="669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Construção de interpretações apoiadas em evidências, fontes, dados e perspectivas distintas.</w:t>
            </w:r>
          </w:p>
        </w:tc>
      </w:tr>
      <w:tr>
        <w:trPr>
          <w:cantSplit/>
        </w:trPr>
        <w:tc>
          <w:tcPr>
            <w:tcW w:type="dxa" w:w="295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8 · Autoconhecimento e autocuidado</w:t>
            </w:r>
          </w:p>
        </w:tc>
        <w:tc>
          <w:tcPr>
            <w:tcW w:type="dxa" w:w="669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Percepção das próprias reações, repertórios e posições diante do encontro com o outro e com a cidade.</w:t>
            </w:r>
          </w:p>
        </w:tc>
      </w:tr>
      <w:tr>
        <w:trPr>
          <w:cantSplit/>
        </w:trPr>
        <w:tc>
          <w:tcPr>
            <w:tcW w:type="dxa" w:w="295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9 · Empatia e cooperação</w:t>
            </w:r>
          </w:p>
        </w:tc>
        <w:tc>
          <w:tcPr>
            <w:tcW w:type="dxa" w:w="669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Escuta, trabalho em grupo, respeito às diferenças e interação responsável com moradores e colegas.</w:t>
            </w:r>
          </w:p>
        </w:tc>
      </w:tr>
      <w:tr>
        <w:trPr>
          <w:cantSplit/>
        </w:trPr>
        <w:tc>
          <w:tcPr>
            <w:tcW w:type="dxa" w:w="295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10 · Responsabilidade e cidadania</w:t>
            </w:r>
          </w:p>
        </w:tc>
        <w:tc>
          <w:tcPr>
            <w:tcW w:type="dxa" w:w="669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Participação, espaço público, patrimônio, cultura, ambiente, direitos e corresponsabilidade.</w:t>
            </w:r>
          </w:p>
        </w:tc>
      </w:tr>
    </w:tbl>
    <w:p>
      <w:pPr>
        <w:spacing w:after="20"/>
      </w:pPr>
    </w:p>
    <w:p>
      <w:pPr>
        <w:pStyle w:val="Heading1"/>
      </w:pPr>
      <w:r>
        <w:t>7. Áreas do conhecimento: perguntas que o território pode exigir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cantSplit/>
        </w:trPr>
        <w:tc>
          <w:tcPr>
            <w:tcW w:type="dxa" w:w="2376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Área / componente</w:t>
            </w:r>
          </w:p>
        </w:tc>
        <w:tc>
          <w:tcPr>
            <w:tcW w:type="dxa" w:w="7272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Perguntas e objetos possíveis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Arte</w:t>
            </w:r>
          </w:p>
        </w:tc>
        <w:tc>
          <w:tcPr>
            <w:tcW w:type="dxa" w:w="72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Quem pode intervir no espaço público? Como suporte, escala, cor, composição, autoria, estilo e contexto transformam uma obra? Graffiti, pixo, lambe-lambe, dança, música e performance.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Língua Portuguesa / Linguagens</w:t>
            </w:r>
          </w:p>
        </w:tc>
        <w:tc>
          <w:tcPr>
            <w:tcW w:type="dxa" w:w="72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Como um território narra a si mesmo? Oralidade, entrevista, relato, argumentação, poesia, slam, rima, multimodalidade, circulação de discursos e produção autoral.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História</w:t>
            </w:r>
          </w:p>
        </w:tc>
        <w:tc>
          <w:tcPr>
            <w:tcW w:type="dxa" w:w="72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Como se formou este território? Quais memórias permanecem? Fontes orais, história local, cultura negra, movimentos culturais, urbanização e transformações sociais.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Geografia</w:t>
            </w:r>
          </w:p>
        </w:tc>
        <w:tc>
          <w:tcPr>
            <w:tcW w:type="dxa" w:w="72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Como o espaço é produzido? Território, paisagem, mobilidade, segregação socioespacial, cartografia, infraestrutura, redes, uso do solo e direito à cidade.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Sociologia / Filosofia</w:t>
            </w:r>
          </w:p>
        </w:tc>
        <w:tc>
          <w:tcPr>
            <w:tcW w:type="dxa" w:w="72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Quem define o que é arte, patrimônio, centro, periferia, comum ou legítimo? Identidade, cultura, desigualdade, juventudes, poder, estética, ética, reconhecimento e participação.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Matemática</w:t>
            </w:r>
          </w:p>
        </w:tc>
        <w:tc>
          <w:tcPr>
            <w:tcW w:type="dxa" w:w="72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O que pode ser medido e modelado? Escala, proporção, áreas de murais, geometria, estimativas, mapas, dados territoriais, estatística e visualização.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Ciências da Natureza</w:t>
            </w:r>
          </w:p>
        </w:tc>
        <w:tc>
          <w:tcPr>
            <w:tcW w:type="dxa" w:w="72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6"/>
              </w:rPr>
              <w:t>Que matéria e ambiente sustentam a cidade? Pigmentos, superfícies, conservação, água, calor urbano, impermeabilização, resíduos, biodiversidade urbana e sustentabilidade.</w:t>
            </w:r>
          </w:p>
        </w:tc>
      </w:tr>
    </w:tbl>
    <w:p>
      <w:pPr>
        <w:spacing w:after="20"/>
      </w:pPr>
    </w:p>
    <w:p>
      <w:pPr>
        <w:pStyle w:val="Heading1"/>
      </w:pPr>
      <w:r>
        <w:t>8. Educação das relações étnico-raciais: presença, não apêndice</w:t>
      </w:r>
    </w:p>
    <w:p>
      <w:r>
        <w:t>A Lei nº 11.645/2008 determina o estudo da história e cultura afro-brasileira e indígena no Ensino Fundamental e Médio. As Diretrizes para a Educação das Relações Étnico-Raciais enfatizam produção de conhecimentos, atitudes, posturas e valores e o reconhecimento da pluralidade étnico-racial. No Favela Galeria, essa dimensão deve aparecer na própria leitura das linguagens, das trajetórias, das referências culturais e dos sujeitos presentes no território, e não como atividade comemorativa isolada.</w:t>
      </w:r>
    </w:p>
    <w:p>
      <w:r>
        <w:t>O cuidado pedagógico é decisivo: periferia não deve ser apresentada como sinônimo de carência; cultura negra não deve ser tratada apenas pela violência sofrida; moradores não devem ser convertidos em “fontes humanas” disponíveis ao olhar escolar. A mediação deve reconhecer autoria, complexidade, conflito, produção cultural e agência.</w:t>
      </w:r>
    </w:p>
    <w:p>
      <w:pPr>
        <w:pStyle w:val="Heading1"/>
      </w:pPr>
      <w:r>
        <w:t>9. Avaliação e documentação</w:t>
      </w:r>
    </w:p>
    <w:p>
      <w:r>
        <w:t>A avaliação pode se concentrar menos na reprodução de informações do percurso e mais na qualidade do processo: capacidade de observar, formular perguntas, mobilizar fontes, rever hipóteses, relacionar saberes, argumentar e produzir uma resposta comunicável.</w:t>
      </w:r>
    </w:p>
    <w:p>
      <w:pPr>
        <w:pStyle w:val="ListBullet"/>
      </w:pPr>
      <w:r>
        <w:t>Caderno ou protocolo de campo;</w:t>
      </w:r>
    </w:p>
    <w:p>
      <w:pPr>
        <w:pStyle w:val="ListBullet"/>
      </w:pPr>
      <w:r>
        <w:t>registro de perguntas antes e depois;</w:t>
      </w:r>
    </w:p>
    <w:p>
      <w:pPr>
        <w:pStyle w:val="ListBullet"/>
      </w:pPr>
      <w:r>
        <w:t>mapas e cartografias afetivas ou analíticas;</w:t>
      </w:r>
    </w:p>
    <w:p>
      <w:pPr>
        <w:pStyle w:val="ListBullet"/>
      </w:pPr>
      <w:r>
        <w:t>portfólio de imagens com legendas interpretativas;</w:t>
      </w:r>
    </w:p>
    <w:p>
      <w:pPr>
        <w:pStyle w:val="ListBullet"/>
      </w:pPr>
      <w:r>
        <w:t>produção oral, textual, visual ou performática;</w:t>
      </w:r>
    </w:p>
    <w:p>
      <w:pPr>
        <w:pStyle w:val="ListBullet"/>
      </w:pPr>
      <w:r>
        <w:t>rubrica de investigação, colaboração e argumentação;</w:t>
      </w:r>
    </w:p>
    <w:p>
      <w:pPr>
        <w:pStyle w:val="ListBullet"/>
      </w:pPr>
      <w:r>
        <w:t>devolutiva para a comunidade ou para outros estudantes;</w:t>
      </w:r>
    </w:p>
    <w:p>
      <w:pPr>
        <w:pStyle w:val="ListBullet"/>
      </w:pPr>
      <w:r>
        <w:t>autoavaliação: “o que eu pensava / o que encontrei / o que ainda preciso saber”.</w:t>
      </w:r>
    </w:p>
    <w:p>
      <w:pPr>
        <w:pStyle w:val="Heading1"/>
      </w:pPr>
      <w:r>
        <w:t>10. O papel da escola e do Instituto Sentir</w:t>
      </w:r>
    </w:p>
    <w:p>
      <w:r>
        <w:t>A escola permanece autora de seu currículo. O Instituto Sentir não substitui o planejamento do professor nem prescreve uma lista universal de habilidades. Sua função é oferecer território, mediação, materiais, repertório metodológico e possibilidades de desenho para que a equipe pedagógica construa uma experiência coerente com seus objetivos.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36"/>
            <w:shd w:fill="F3F0E8"/>
            <w:tcMar>
              <w:top w:w="180" w:type="dxa"/>
              <w:start w:w="200" w:type="dxa"/>
              <w:bottom w:w="180" w:type="dxa"/>
              <w:end w:w="200" w:type="dxa"/>
            </w:tcMar>
          </w:tcPr>
          <w:p>
            <w:r>
              <w:rPr>
                <w:b/>
                <w:color w:val="C62F2F"/>
                <w:sz w:val="24"/>
              </w:rPr>
              <w:t>PERGUNTA DE PARTIDA</w:t>
              <w:br/>
            </w:r>
            <w:r>
              <w:t>Em vez de perguntar “qual conteúdo vocês ensinam?”, começamos por: que pergunta sua turma precisa colocar diante deste território?</w:t>
            </w:r>
          </w:p>
        </w:tc>
      </w:tr>
    </w:tbl>
    <w:p>
      <w:pPr>
        <w:spacing w:after="20"/>
      </w:pPr>
    </w:p>
    <w:p>
      <w:pPr>
        <w:pStyle w:val="Heading1"/>
      </w:pPr>
      <w:r>
        <w:t>11. Referências normativas e metodológicas essenciais</w:t>
      </w:r>
    </w:p>
    <w:p>
      <w:pPr>
        <w:pStyle w:val="ListBullet"/>
      </w:pPr>
      <w:r>
        <w:t>BRASIL. Lei nº 9.394/1996 (LDB), texto compilado. Presidência da República.</w:t>
      </w:r>
    </w:p>
    <w:p>
      <w:pPr>
        <w:pStyle w:val="ListBullet"/>
      </w:pPr>
      <w:r>
        <w:t>BRASIL. Lei nº 14.945/2024. Altera a LDB e reestrutura o Ensino Médio.</w:t>
      </w:r>
    </w:p>
    <w:p>
      <w:pPr>
        <w:pStyle w:val="ListBullet"/>
      </w:pPr>
      <w:r>
        <w:t>CNE. Resolução CNE/CEB nº 2/2024. Diretrizes Curriculares Nacionais para o Ensino Médio.</w:t>
      </w:r>
    </w:p>
    <w:p>
      <w:pPr>
        <w:pStyle w:val="ListBullet"/>
      </w:pPr>
      <w:r>
        <w:t>CNE. Resolução CNE/CEB nº 4/2025. Parâmetros Nacionais para a Oferta dos Itinerários Formativos de Aprofundamento.</w:t>
      </w:r>
    </w:p>
    <w:p>
      <w:pPr>
        <w:pStyle w:val="ListBullet"/>
      </w:pPr>
      <w:r>
        <w:t>MEC. Base Nacional Comum Curricular - BNCC.</w:t>
      </w:r>
    </w:p>
    <w:p>
      <w:pPr>
        <w:pStyle w:val="ListBullet"/>
      </w:pPr>
      <w:r>
        <w:t>BRASIL. Lei nº 11.645/2008; CNE/CP nº 1/2004 - Educação das Relações Étnico-Raciais.</w:t>
      </w:r>
    </w:p>
    <w:p>
      <w:pPr>
        <w:pStyle w:val="ListBullet"/>
      </w:pPr>
      <w:r>
        <w:t>CNE. Resolução CNE/CP nº 1/2012 - Educação em Direitos Humanos.</w:t>
      </w:r>
    </w:p>
    <w:p>
      <w:pPr>
        <w:pStyle w:val="ListBullet"/>
      </w:pPr>
      <w:r>
        <w:t>BRASIL. Lei nº 9.795/1999 - Política Nacional de Educação Ambiental.</w:t>
      </w:r>
    </w:p>
    <w:p>
      <w:pPr>
        <w:pStyle w:val="ListBullet"/>
      </w:pPr>
      <w:r>
        <w:t>Escola de Aplicação da FEUSP. Estudo do Meio: pré-campo, campo e pós-campo.</w:t>
      </w:r>
    </w:p>
    <w:p>
      <w:pPr>
        <w:pStyle w:val="ListBullet"/>
      </w:pPr>
      <w:r>
        <w:t>USP/PlanEnGeo. Documentação do Estudo do Meio e produção autoral no pós-campo.</w:t>
      </w:r>
    </w:p>
    <w:p>
      <w:r>
        <w:t>Links oficiais e fontes consultadas em outubro de 2026: planalto.gov.br; gov.br/mec; basenacionalcomum.mec.gov.br; gov.br/inep; Escola de Aplicação da FEUSP e USP/PlanEnGeo.</w:t>
      </w:r>
    </w:p>
    <w:p>
      <w:pPr>
        <w:pStyle w:val="Heading1"/>
      </w:pPr>
      <w:r>
        <w:t>Hip-hop: linguagem, conhecimento e prática educativa</w:t>
      </w:r>
    </w:p>
    <w:p>
      <w:r>
        <w:t>O hip-hop não entra nas Experiências Favela Galeria como recurso para tornar uma atividade escolar mais atraente. Ele é tratado como produção cultural, linguagem, memória, conhecimento e prática educativa constituída nos territórios.</w:t>
      </w:r>
    </w:p>
    <w:p>
      <w:r>
        <w:t>Esse entendimento ganhou uma referência nacional especialmente relevante em 2026. A Portaria MEC nº 297, de 31 de março de 2026, instituiu o Programa Escola Nacional de Hip-Hop - H2E, no âmbito do Ministério da Educação. O programa alcança a educação básica e reconhece a potência educativa dos saberes, linguagens, práticas e agentes do hip-hop.</w:t>
      </w:r>
    </w:p>
    <w:p>
      <w:r>
        <w:t>Em 24 de setembro de 2026, a Portaria Conjunta SECADI/SETEC/MEC nº 1 instituiu a Ação Nacional de Certificação H2E de Entidades Formadoras. A norma considera entidade formadora organizações, coletivos, movimentos, grupos culturais ou iniciativas que desenvolvam processos formativos relacionados ao hip-hop e à educação. Entre seus objetivos estão valorizar saberes, metodologias, trajetórias e práticas educativas construídas nos territórios e fortalecer a articulação entre instituições educacionais e entidades que atuam nesses territórios.</w:t>
      </w:r>
    </w:p>
    <w:p>
      <w:r>
        <w:t>Para o Favela Galeria, isso reforça uma escolha pedagógica anterior à própria norma: aprender com os sujeitos que produzem cultura no território, e não apenas estudar suas produções à distância. MCs, DJs, breakers, grafiteiros e outros agentes culturais podem ocupar o lugar de interlocutores e produtores de conhecimento.</w:t>
      </w:r>
    </w:p>
    <w:p>
      <w:r>
        <w:t>Na cidade de São Paulo, a Lei Municipal nº 18.510, de 24 de junho de 2026, autorizou a criação da Casa de Cultura de Rimas de Rap e Hip Hop e reconheceu a batalha educacional de rima, ações de formação e capacitação ligadas ao rap, debates sobre juventude e políticas públicas e rodas de rima que incentivem o apreço e o estudo da Língua Portuguesa.</w:t>
      </w:r>
    </w:p>
    <w:p>
      <w:r>
        <w:t>A antiga Lei Municipal nº 13.924/2004, que instituiu a Semana do Hip Hop, é uma referência histórica importante, mas foi revogada pela Lei nº 14.485/2007. Por isso, não é apresentada aqui como fundamento normativo vigente.</w:t>
      </w:r>
    </w:p>
    <w:p>
      <w:r>
        <w:t>Esses marcos não transformam automaticamente uma oficina em atividade curricular. Eles ajudam a reconhecer institucionalmente um campo educativo que precisa ser trabalhado com intencionalidade, planejamento, mediação e continuidade.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Linguagem / elemento</w:t>
            </w:r>
          </w:p>
        </w:tc>
        <w:tc>
          <w:tcPr>
            <w:tcW w:type="dxa" w:w="4968"/>
          </w:tcPr>
          <w:p>
            <w:r>
              <w:t>Possibilidades de investigação e aprendizagem</w:t>
            </w:r>
          </w:p>
        </w:tc>
      </w:tr>
      <w:tr>
        <w:tc>
          <w:tcPr>
            <w:tcW w:type="dxa" w:w="4968"/>
          </w:tcPr>
          <w:p>
            <w:r>
              <w:t>MC, rap, rima e slam</w:t>
            </w:r>
          </w:p>
        </w:tc>
        <w:tc>
          <w:tcPr>
            <w:tcW w:type="dxa" w:w="4968"/>
          </w:tcPr>
          <w:p>
            <w:r>
              <w:t>Oralidade; poesia; escolha lexical; ritmo; argumentação; escuta; autoria; leitura crítica; Língua Portuguesa.</w:t>
            </w:r>
          </w:p>
        </w:tc>
      </w:tr>
      <w:tr>
        <w:tc>
          <w:tcPr>
            <w:tcW w:type="dxa" w:w="4968"/>
          </w:tcPr>
          <w:p>
            <w:r>
              <w:t>Graffiti e arte urbana</w:t>
            </w:r>
          </w:p>
        </w:tc>
        <w:tc>
          <w:tcPr>
            <w:tcW w:type="dxa" w:w="4968"/>
          </w:tcPr>
          <w:p>
            <w:r>
              <w:t>Arte; composição; cor; escala; geometria; suporte; comunicação visual; espaço público; memória e território.</w:t>
            </w:r>
          </w:p>
        </w:tc>
      </w:tr>
      <w:tr>
        <w:tc>
          <w:tcPr>
            <w:tcW w:type="dxa" w:w="4968"/>
          </w:tcPr>
          <w:p>
            <w:r>
              <w:t>Breaking</w:t>
            </w:r>
          </w:p>
        </w:tc>
        <w:tc>
          <w:tcPr>
            <w:tcW w:type="dxa" w:w="4968"/>
          </w:tcPr>
          <w:p>
            <w:r>
              <w:t>Corpo; dança; criação; repertório cultural; ritmo; cooperação; Educação Física e Arte.</w:t>
            </w:r>
          </w:p>
        </w:tc>
      </w:tr>
      <w:tr>
        <w:tc>
          <w:tcPr>
            <w:tcW w:type="dxa" w:w="4968"/>
          </w:tcPr>
          <w:p>
            <w:r>
              <w:t>DJ e cultura sonora</w:t>
            </w:r>
          </w:p>
        </w:tc>
        <w:tc>
          <w:tcPr>
            <w:tcW w:type="dxa" w:w="4968"/>
          </w:tcPr>
          <w:p>
            <w:r>
              <w:t>Música; ritmo; tecnologia; pesquisa sonora; sampling; memória cultural; autoria e circulação de repertórios.</w:t>
            </w:r>
          </w:p>
        </w:tc>
      </w:tr>
      <w:tr>
        <w:tc>
          <w:tcPr>
            <w:tcW w:type="dxa" w:w="4968"/>
          </w:tcPr>
          <w:p>
            <w:r>
              <w:t>Hip-hop como movimento cultural</w:t>
            </w:r>
          </w:p>
        </w:tc>
        <w:tc>
          <w:tcPr>
            <w:tcW w:type="dxa" w:w="4968"/>
          </w:tcPr>
          <w:p>
            <w:r>
              <w:t>História; Geografia; Sociologia; relações étnico-raciais; juventudes; periferias; participação; direito à cidade e produção cultural.</w:t>
            </w:r>
          </w:p>
        </w:tc>
      </w:tr>
    </w:tbl>
    <w:p>
      <w:pPr>
        <w:pStyle w:val="Heading2"/>
      </w:pPr>
      <w:r>
        <w:t>Referências normativas específicas sobre hip-hop</w:t>
      </w:r>
    </w:p>
    <w:p>
      <w:pPr>
        <w:pStyle w:val="ListBullet"/>
      </w:pPr>
      <w:r>
        <w:t>BRASIL. Ministério da Educação. Portaria MEC nº 297, de 31 de março de 2026. Institui o Programa Escola Nacional de Hip-Hop - H2E.</w:t>
      </w:r>
    </w:p>
    <w:p>
      <w:pPr>
        <w:pStyle w:val="ListBullet"/>
      </w:pPr>
      <w:r>
        <w:t>BRASIL. MEC/SECADI/SETEC. Portaria Conjunta nº 1, de 24 de setembro de 2026. Institui a Ação Nacional de Certificação H2E de Entidades Formadoras.</w:t>
      </w:r>
    </w:p>
    <w:p>
      <w:pPr>
        <w:pStyle w:val="ListBullet"/>
      </w:pPr>
      <w:r>
        <w:t>SÃO PAULO (Município). Lei nº 18.510, de 24 de junho de 2026. Autoriza a criação da Casa de Cultura de Rimas de Rap e Hip Hop.</w:t>
      </w:r>
    </w:p>
    <w:p>
      <w:r>
        <w:t>Nota institucional: a certificação H2E possui procedimento próprio e não decorre automaticamente da atuação educativa. O Instituto Sentir poderá avaliar eventual candidatura conforme os editais e requisitos do programa.</w:t>
      </w:r>
    </w:p>
    <w:sectPr w:rsidR="00FC693F" w:rsidRPr="0006063C" w:rsidSect="00034616"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717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C62F2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71717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D9A62E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/>
      <w:color w:val="171717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